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9E06" w14:textId="6CDD6AC6" w:rsidR="00833EFE" w:rsidRPr="008C167B" w:rsidRDefault="00454754" w:rsidP="009031C9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Bucks Music Trust</w:t>
      </w:r>
      <w:r w:rsidR="009031C9">
        <w:rPr>
          <w:rFonts w:asciiTheme="minorHAnsi" w:hAnsiTheme="minorHAnsi"/>
          <w:b/>
          <w:sz w:val="32"/>
          <w:szCs w:val="32"/>
        </w:rPr>
        <w:t xml:space="preserve"> </w:t>
      </w:r>
      <w:r w:rsidR="00313E39">
        <w:rPr>
          <w:rFonts w:asciiTheme="minorHAnsi" w:hAnsiTheme="minorHAnsi"/>
          <w:b/>
          <w:sz w:val="32"/>
          <w:szCs w:val="32"/>
        </w:rPr>
        <w:t>202</w:t>
      </w:r>
      <w:r w:rsidR="00372478">
        <w:rPr>
          <w:rFonts w:asciiTheme="minorHAnsi" w:hAnsiTheme="minorHAnsi"/>
          <w:b/>
          <w:sz w:val="32"/>
          <w:szCs w:val="32"/>
        </w:rPr>
        <w:t>2</w:t>
      </w:r>
      <w:r w:rsidR="009031C9">
        <w:rPr>
          <w:rFonts w:asciiTheme="minorHAnsi" w:hAnsiTheme="minorHAnsi"/>
          <w:b/>
          <w:sz w:val="32"/>
          <w:szCs w:val="32"/>
        </w:rPr>
        <w:t>/</w:t>
      </w:r>
      <w:r w:rsidR="00313E39">
        <w:rPr>
          <w:rFonts w:asciiTheme="minorHAnsi" w:hAnsiTheme="minorHAnsi"/>
          <w:b/>
          <w:sz w:val="32"/>
          <w:szCs w:val="32"/>
        </w:rPr>
        <w:t>2</w:t>
      </w:r>
      <w:r w:rsidR="00372478">
        <w:rPr>
          <w:rFonts w:asciiTheme="minorHAnsi" w:hAnsiTheme="minorHAnsi"/>
          <w:b/>
          <w:sz w:val="32"/>
          <w:szCs w:val="32"/>
        </w:rPr>
        <w:t>3</w:t>
      </w:r>
    </w:p>
    <w:p w14:paraId="307B0773" w14:textId="77777777" w:rsidR="00833EFE" w:rsidRPr="00EB29DD" w:rsidRDefault="00833EFE" w:rsidP="00833EFE">
      <w:pPr>
        <w:rPr>
          <w:rFonts w:asciiTheme="minorHAnsi" w:hAnsiTheme="minorHAnsi"/>
        </w:rPr>
      </w:pPr>
    </w:p>
    <w:p w14:paraId="7AD99440" w14:textId="28C1C76E" w:rsidR="00454754" w:rsidRDefault="009031C9" w:rsidP="00833EF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Music Education offer for Parents</w:t>
      </w:r>
    </w:p>
    <w:p w14:paraId="0819546A" w14:textId="77777777" w:rsidR="00454754" w:rsidRPr="008309A2" w:rsidRDefault="00454754" w:rsidP="00833EFE">
      <w:pPr>
        <w:rPr>
          <w:rFonts w:asciiTheme="minorHAnsi" w:hAnsiTheme="minorHAnsi"/>
          <w:b/>
          <w:sz w:val="16"/>
          <w:szCs w:val="16"/>
        </w:rPr>
      </w:pPr>
    </w:p>
    <w:p w14:paraId="7A7DD8FB" w14:textId="7DFB6BDD" w:rsidR="00BF198B" w:rsidRPr="00D64EAC" w:rsidRDefault="00BF198B" w:rsidP="00BF198B">
      <w:pPr>
        <w:rPr>
          <w:rFonts w:asciiTheme="minorHAnsi" w:hAnsiTheme="minorHAnsi"/>
          <w:b/>
        </w:rPr>
      </w:pPr>
      <w:r w:rsidRPr="00D64EAC">
        <w:rPr>
          <w:rFonts w:asciiTheme="minorHAnsi" w:hAnsiTheme="minorHAnsi"/>
          <w:b/>
        </w:rPr>
        <w:t>Subsidies</w:t>
      </w:r>
      <w:r>
        <w:rPr>
          <w:rFonts w:asciiTheme="minorHAnsi" w:hAnsiTheme="minorHAnsi"/>
          <w:b/>
        </w:rPr>
        <w:t xml:space="preserve"> to promote opportunity for all children</w:t>
      </w:r>
    </w:p>
    <w:p w14:paraId="48FA1BFB" w14:textId="6266F9D3" w:rsidR="00BF198B" w:rsidRDefault="00BF198B" w:rsidP="00BF198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Subsidies can be applied to all fees</w:t>
      </w:r>
      <w:r w:rsidR="00FC4028">
        <w:rPr>
          <w:rFonts w:asciiTheme="minorHAnsi" w:hAnsiTheme="minorHAnsi"/>
          <w:sz w:val="22"/>
          <w:szCs w:val="22"/>
        </w:rPr>
        <w:t>, including Music Centre memberships</w:t>
      </w:r>
      <w:r w:rsidR="00A054AF">
        <w:rPr>
          <w:rFonts w:asciiTheme="minorHAnsi" w:hAnsiTheme="minorHAnsi"/>
          <w:sz w:val="22"/>
          <w:szCs w:val="22"/>
        </w:rPr>
        <w:t xml:space="preserve"> and BMT is absolutely committed to ensuring that all children can have the opportunity to access lessons.</w:t>
      </w:r>
    </w:p>
    <w:p w14:paraId="3E103D55" w14:textId="77777777" w:rsidR="00BF198B" w:rsidRPr="005D5ED9" w:rsidRDefault="00BF198B" w:rsidP="00BF198B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134"/>
        <w:gridCol w:w="3147"/>
        <w:gridCol w:w="1985"/>
      </w:tblGrid>
      <w:tr w:rsidR="00BF198B" w:rsidRPr="003A47F5" w14:paraId="4390F232" w14:textId="77777777" w:rsidTr="00BF198B">
        <w:tc>
          <w:tcPr>
            <w:tcW w:w="4281" w:type="dxa"/>
            <w:gridSpan w:val="2"/>
            <w:vAlign w:val="center"/>
          </w:tcPr>
          <w:p w14:paraId="100DB4DB" w14:textId="1354558C" w:rsidR="00BF198B" w:rsidRPr="003A47F5" w:rsidRDefault="00BF198B" w:rsidP="00B02A4E">
            <w:pPr>
              <w:rPr>
                <w:rFonts w:asciiTheme="minorHAnsi" w:hAnsiTheme="minorHAnsi"/>
                <w:sz w:val="22"/>
                <w:szCs w:val="22"/>
              </w:rPr>
            </w:pPr>
            <w:r w:rsidRPr="003A47F5">
              <w:rPr>
                <w:rFonts w:asciiTheme="minorHAnsi" w:hAnsiTheme="minorHAnsi"/>
                <w:sz w:val="22"/>
                <w:szCs w:val="22"/>
              </w:rPr>
              <w:t>Students eligible for Free School Meals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(FSM)</w:t>
            </w:r>
          </w:p>
        </w:tc>
        <w:tc>
          <w:tcPr>
            <w:tcW w:w="1985" w:type="dxa"/>
            <w:vAlign w:val="center"/>
          </w:tcPr>
          <w:p w14:paraId="78DFFA44" w14:textId="77777777" w:rsidR="00BF198B" w:rsidRPr="00B636F8" w:rsidRDefault="00BF198B" w:rsidP="00B02A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36F8">
              <w:rPr>
                <w:rFonts w:asciiTheme="minorHAnsi" w:hAnsiTheme="minorHAnsi"/>
                <w:b/>
                <w:sz w:val="22"/>
                <w:szCs w:val="22"/>
              </w:rPr>
              <w:t>50% reduction</w:t>
            </w:r>
          </w:p>
        </w:tc>
      </w:tr>
      <w:tr w:rsidR="00BF198B" w:rsidRPr="003A47F5" w14:paraId="6CC76AD1" w14:textId="77777777" w:rsidTr="00BF198B">
        <w:tc>
          <w:tcPr>
            <w:tcW w:w="1134" w:type="dxa"/>
            <w:vMerge w:val="restart"/>
            <w:vAlign w:val="center"/>
          </w:tcPr>
          <w:p w14:paraId="2AA84CCB" w14:textId="77777777" w:rsidR="00BF198B" w:rsidRPr="003A47F5" w:rsidRDefault="00BF198B" w:rsidP="00B02A4E">
            <w:pPr>
              <w:rPr>
                <w:rFonts w:asciiTheme="minorHAnsi" w:hAnsiTheme="minorHAnsi"/>
                <w:sz w:val="22"/>
                <w:szCs w:val="22"/>
              </w:rPr>
            </w:pPr>
            <w:r w:rsidRPr="003A47F5">
              <w:rPr>
                <w:rFonts w:asciiTheme="minorHAnsi" w:hAnsiTheme="minorHAnsi"/>
                <w:sz w:val="22"/>
                <w:szCs w:val="22"/>
              </w:rPr>
              <w:t>Siblings</w:t>
            </w:r>
          </w:p>
        </w:tc>
        <w:tc>
          <w:tcPr>
            <w:tcW w:w="3147" w:type="dxa"/>
            <w:vAlign w:val="center"/>
          </w:tcPr>
          <w:p w14:paraId="1596DF6A" w14:textId="77777777" w:rsidR="00BF198B" w:rsidRPr="003A47F5" w:rsidRDefault="00BF198B" w:rsidP="00B02A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A47F5">
              <w:rPr>
                <w:rFonts w:asciiTheme="minorHAnsi" w:hAnsiTheme="minorHAnsi"/>
                <w:sz w:val="22"/>
                <w:szCs w:val="22"/>
              </w:rPr>
              <w:t>2</w:t>
            </w:r>
            <w:r w:rsidRPr="003A47F5">
              <w:rPr>
                <w:rFonts w:asciiTheme="minorHAnsi" w:hAnsiTheme="minorHAnsi"/>
                <w:sz w:val="22"/>
                <w:szCs w:val="22"/>
                <w:vertAlign w:val="superscript"/>
              </w:rPr>
              <w:t>nd</w:t>
            </w:r>
            <w:r w:rsidRPr="003A47F5">
              <w:rPr>
                <w:rFonts w:asciiTheme="minorHAnsi" w:hAnsiTheme="minorHAnsi"/>
                <w:sz w:val="22"/>
                <w:szCs w:val="22"/>
              </w:rPr>
              <w:t xml:space="preserve"> child</w:t>
            </w:r>
          </w:p>
        </w:tc>
        <w:tc>
          <w:tcPr>
            <w:tcW w:w="1985" w:type="dxa"/>
            <w:vAlign w:val="center"/>
          </w:tcPr>
          <w:p w14:paraId="5805ACEA" w14:textId="77777777" w:rsidR="00BF198B" w:rsidRPr="00B636F8" w:rsidRDefault="00BF198B" w:rsidP="00B02A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36F8">
              <w:rPr>
                <w:rFonts w:asciiTheme="minorHAnsi" w:hAnsiTheme="minorHAnsi"/>
                <w:b/>
                <w:sz w:val="22"/>
                <w:szCs w:val="22"/>
              </w:rPr>
              <w:t>15% reduction</w:t>
            </w:r>
          </w:p>
        </w:tc>
      </w:tr>
      <w:tr w:rsidR="00BF198B" w:rsidRPr="003A47F5" w14:paraId="16B3954F" w14:textId="77777777" w:rsidTr="00BF198B">
        <w:tc>
          <w:tcPr>
            <w:tcW w:w="1134" w:type="dxa"/>
            <w:vMerge/>
          </w:tcPr>
          <w:p w14:paraId="3959BDA6" w14:textId="77777777" w:rsidR="00BF198B" w:rsidRPr="003A47F5" w:rsidRDefault="00BF198B" w:rsidP="00B02A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  <w:vAlign w:val="center"/>
          </w:tcPr>
          <w:p w14:paraId="42CD6E88" w14:textId="77777777" w:rsidR="00BF198B" w:rsidRPr="003A47F5" w:rsidRDefault="00BF198B" w:rsidP="00B02A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3A47F5">
              <w:rPr>
                <w:rFonts w:asciiTheme="minorHAnsi" w:hAnsi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child</w:t>
            </w:r>
          </w:p>
        </w:tc>
        <w:tc>
          <w:tcPr>
            <w:tcW w:w="1985" w:type="dxa"/>
            <w:vAlign w:val="center"/>
          </w:tcPr>
          <w:p w14:paraId="5E164074" w14:textId="77777777" w:rsidR="00BF198B" w:rsidRPr="00B636F8" w:rsidRDefault="00BF198B" w:rsidP="00B02A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36F8">
              <w:rPr>
                <w:rFonts w:asciiTheme="minorHAnsi" w:hAnsiTheme="minorHAnsi"/>
                <w:b/>
                <w:sz w:val="22"/>
                <w:szCs w:val="22"/>
              </w:rPr>
              <w:t>30% reduction</w:t>
            </w:r>
          </w:p>
        </w:tc>
      </w:tr>
      <w:tr w:rsidR="00BF198B" w:rsidRPr="003A47F5" w14:paraId="24FAF557" w14:textId="77777777" w:rsidTr="00BF198B">
        <w:tc>
          <w:tcPr>
            <w:tcW w:w="1134" w:type="dxa"/>
            <w:vMerge/>
          </w:tcPr>
          <w:p w14:paraId="0273B226" w14:textId="77777777" w:rsidR="00BF198B" w:rsidRPr="003A47F5" w:rsidRDefault="00BF198B" w:rsidP="00B02A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  <w:vAlign w:val="center"/>
          </w:tcPr>
          <w:p w14:paraId="2B8602FE" w14:textId="77777777" w:rsidR="00BF198B" w:rsidRPr="003A47F5" w:rsidRDefault="00BF198B" w:rsidP="00B02A4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Each subsequent child</w:t>
            </w:r>
          </w:p>
        </w:tc>
        <w:tc>
          <w:tcPr>
            <w:tcW w:w="1985" w:type="dxa"/>
            <w:vAlign w:val="center"/>
          </w:tcPr>
          <w:p w14:paraId="4F2DA40A" w14:textId="77777777" w:rsidR="00BF198B" w:rsidRPr="00B636F8" w:rsidRDefault="00BF198B" w:rsidP="00B02A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36F8">
              <w:rPr>
                <w:rFonts w:asciiTheme="minorHAnsi" w:hAnsiTheme="minorHAnsi"/>
                <w:b/>
                <w:sz w:val="22"/>
                <w:szCs w:val="22"/>
              </w:rPr>
              <w:t>50% reduction</w:t>
            </w:r>
          </w:p>
        </w:tc>
      </w:tr>
    </w:tbl>
    <w:p w14:paraId="4AA2DF0D" w14:textId="77777777" w:rsidR="00BF198B" w:rsidRPr="008309A2" w:rsidRDefault="00BF198B" w:rsidP="00BF198B">
      <w:pPr>
        <w:rPr>
          <w:rFonts w:asciiTheme="minorHAnsi" w:hAnsiTheme="minorHAnsi"/>
          <w:sz w:val="16"/>
          <w:szCs w:val="16"/>
        </w:rPr>
      </w:pPr>
    </w:p>
    <w:p w14:paraId="6553C465" w14:textId="77777777" w:rsidR="00BF198B" w:rsidRDefault="00BF198B" w:rsidP="00BF198B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BMT encourages schools to support families eligible for FSM by subsidizing the remaining 50% of lessons fees using Pupil Premium</w:t>
      </w:r>
    </w:p>
    <w:p w14:paraId="6ADEA571" w14:textId="037BFDD0" w:rsidR="00BF198B" w:rsidRDefault="00BF198B" w:rsidP="00BF198B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EB093C">
        <w:rPr>
          <w:rFonts w:asciiTheme="minorHAnsi" w:hAnsiTheme="minorHAnsi"/>
          <w:b/>
          <w:bCs/>
          <w:sz w:val="22"/>
          <w:szCs w:val="22"/>
        </w:rPr>
        <w:t>If your financial situation is such that you are not eligible for FSM</w:t>
      </w:r>
      <w:r w:rsidR="00FC4028" w:rsidRPr="00EB093C">
        <w:rPr>
          <w:rFonts w:asciiTheme="minorHAnsi" w:hAnsiTheme="minorHAnsi"/>
          <w:b/>
          <w:bCs/>
          <w:sz w:val="22"/>
          <w:szCs w:val="22"/>
        </w:rPr>
        <w:t xml:space="preserve"> but find that the headline fees are challenging, we have other bursaries available on application of up to 50%</w:t>
      </w:r>
      <w:r w:rsidR="00F615FA">
        <w:rPr>
          <w:rFonts w:asciiTheme="minorHAnsi" w:hAnsiTheme="minorHAnsi"/>
          <w:b/>
          <w:bCs/>
          <w:sz w:val="22"/>
          <w:szCs w:val="22"/>
        </w:rPr>
        <w:t xml:space="preserve">. Our assessment process is confidential and focused on our mission to </w:t>
      </w:r>
      <w:r w:rsidR="009031C9">
        <w:rPr>
          <w:rFonts w:asciiTheme="minorHAnsi" w:hAnsiTheme="minorHAnsi"/>
          <w:b/>
          <w:bCs/>
          <w:sz w:val="22"/>
          <w:szCs w:val="22"/>
        </w:rPr>
        <w:t>make sure that all music is available to all children</w:t>
      </w:r>
    </w:p>
    <w:p w14:paraId="54D2E010" w14:textId="77777777" w:rsidR="009031C9" w:rsidRDefault="009031C9" w:rsidP="009031C9">
      <w:pPr>
        <w:rPr>
          <w:rFonts w:asciiTheme="minorHAnsi" w:hAnsiTheme="minorHAnsi"/>
          <w:b/>
        </w:rPr>
      </w:pPr>
    </w:p>
    <w:p w14:paraId="6F642FB6" w14:textId="0484D0CD" w:rsidR="009031C9" w:rsidRPr="00B636F8" w:rsidRDefault="009031C9" w:rsidP="009031C9">
      <w:pPr>
        <w:rPr>
          <w:rFonts w:asciiTheme="minorHAnsi" w:hAnsiTheme="minorHAnsi"/>
          <w:b/>
        </w:rPr>
      </w:pPr>
      <w:r w:rsidRPr="00B636F8">
        <w:rPr>
          <w:rFonts w:asciiTheme="minorHAnsi" w:hAnsiTheme="minorHAnsi"/>
          <w:b/>
        </w:rPr>
        <w:t xml:space="preserve">Instrumental </w:t>
      </w:r>
      <w:r>
        <w:rPr>
          <w:rFonts w:asciiTheme="minorHAnsi" w:hAnsiTheme="minorHAnsi"/>
          <w:b/>
        </w:rPr>
        <w:t xml:space="preserve">&amp; Vocal </w:t>
      </w:r>
      <w:r w:rsidRPr="00B636F8">
        <w:rPr>
          <w:rFonts w:asciiTheme="minorHAnsi" w:hAnsiTheme="minorHAnsi"/>
          <w:b/>
        </w:rPr>
        <w:t>teaching</w:t>
      </w:r>
      <w:r>
        <w:rPr>
          <w:rFonts w:asciiTheme="minorHAnsi" w:hAnsiTheme="minorHAnsi"/>
          <w:b/>
        </w:rPr>
        <w:t xml:space="preserve"> – all instruments (subject to availability)</w:t>
      </w:r>
    </w:p>
    <w:p w14:paraId="71874310" w14:textId="77777777" w:rsidR="009031C9" w:rsidRDefault="009031C9" w:rsidP="009031C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33</w:t>
      </w:r>
      <w:r w:rsidRPr="008C167B">
        <w:rPr>
          <w:rFonts w:asciiTheme="minorHAnsi" w:hAnsiTheme="minorHAnsi"/>
          <w:sz w:val="22"/>
          <w:szCs w:val="22"/>
        </w:rPr>
        <w:t xml:space="preserve"> lessons per academic year</w:t>
      </w:r>
      <w:r>
        <w:rPr>
          <w:rFonts w:asciiTheme="minorHAnsi" w:hAnsiTheme="minorHAnsi"/>
          <w:sz w:val="22"/>
          <w:szCs w:val="22"/>
        </w:rPr>
        <w:t xml:space="preserve"> and a</w:t>
      </w:r>
      <w:r w:rsidRPr="00121B15">
        <w:rPr>
          <w:rFonts w:asciiTheme="minorHAnsi" w:hAnsiTheme="minorHAnsi"/>
          <w:sz w:val="22"/>
          <w:szCs w:val="22"/>
        </w:rPr>
        <w:t>ll fees are payable per term in advance</w:t>
      </w:r>
    </w:p>
    <w:p w14:paraId="63CA9FE0" w14:textId="4D144CF9" w:rsidR="009031C9" w:rsidRPr="009031C9" w:rsidRDefault="009031C9" w:rsidP="009031C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Parents are billed directly whether lessons are in music centres or schools, except where a school has agreed to subsidise pupils using pupil premium.</w:t>
      </w:r>
    </w:p>
    <w:p w14:paraId="09EDF56F" w14:textId="77777777" w:rsidR="00833EFE" w:rsidRPr="003A47F5" w:rsidRDefault="00833EFE" w:rsidP="00833EFE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7792" w:type="dxa"/>
        <w:tblInd w:w="817" w:type="dxa"/>
        <w:tblLook w:val="04A0" w:firstRow="1" w:lastRow="0" w:firstColumn="1" w:lastColumn="0" w:noHBand="0" w:noVBand="1"/>
      </w:tblPr>
      <w:tblGrid>
        <w:gridCol w:w="1165"/>
        <w:gridCol w:w="1274"/>
        <w:gridCol w:w="1559"/>
        <w:gridCol w:w="1276"/>
        <w:gridCol w:w="1281"/>
        <w:gridCol w:w="1237"/>
      </w:tblGrid>
      <w:tr w:rsidR="00BF198B" w:rsidRPr="008C167B" w14:paraId="220F4BAD" w14:textId="77777777" w:rsidTr="00BF198B">
        <w:trPr>
          <w:trHeight w:val="315"/>
        </w:trPr>
        <w:tc>
          <w:tcPr>
            <w:tcW w:w="5274" w:type="dxa"/>
            <w:gridSpan w:val="4"/>
            <w:shd w:val="clear" w:color="auto" w:fill="DBE5F1" w:themeFill="accent1" w:themeFillTint="33"/>
            <w:vAlign w:val="center"/>
          </w:tcPr>
          <w:p w14:paraId="05C85900" w14:textId="72A45F58" w:rsidR="00BF198B" w:rsidRPr="008C0198" w:rsidRDefault="00BF198B" w:rsidP="004D55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C0198">
              <w:rPr>
                <w:rFonts w:asciiTheme="minorHAnsi" w:hAnsiTheme="minorHAnsi"/>
                <w:b/>
                <w:sz w:val="22"/>
                <w:szCs w:val="22"/>
              </w:rPr>
              <w:t>Individual lessons</w:t>
            </w:r>
          </w:p>
        </w:tc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13DD0B83" w14:textId="31117528" w:rsidR="00BF198B" w:rsidRPr="008C0198" w:rsidRDefault="00BF198B" w:rsidP="004D55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C0198">
              <w:rPr>
                <w:rFonts w:asciiTheme="minorHAnsi" w:hAnsiTheme="minorHAnsi"/>
                <w:b/>
                <w:sz w:val="22"/>
                <w:szCs w:val="22"/>
              </w:rPr>
              <w:t>Group lessons</w:t>
            </w:r>
          </w:p>
        </w:tc>
      </w:tr>
      <w:tr w:rsidR="00BF198B" w:rsidRPr="008C167B" w14:paraId="6F19FF38" w14:textId="77777777" w:rsidTr="009031C9">
        <w:trPr>
          <w:trHeight w:val="319"/>
        </w:trPr>
        <w:tc>
          <w:tcPr>
            <w:tcW w:w="1165" w:type="dxa"/>
            <w:vAlign w:val="center"/>
          </w:tcPr>
          <w:p w14:paraId="3FD6F055" w14:textId="77777777" w:rsidR="00BF198B" w:rsidRPr="004D5594" w:rsidRDefault="00BF198B" w:rsidP="009031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Length</w:t>
            </w:r>
          </w:p>
        </w:tc>
        <w:tc>
          <w:tcPr>
            <w:tcW w:w="1274" w:type="dxa"/>
            <w:vAlign w:val="center"/>
          </w:tcPr>
          <w:p w14:paraId="33CEC778" w14:textId="77777777" w:rsidR="00BF198B" w:rsidRDefault="00BF198B" w:rsidP="009031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Tuition only rate</w:t>
            </w:r>
          </w:p>
        </w:tc>
        <w:tc>
          <w:tcPr>
            <w:tcW w:w="1559" w:type="dxa"/>
            <w:vAlign w:val="center"/>
          </w:tcPr>
          <w:p w14:paraId="1EC7113A" w14:textId="5C1B47F7" w:rsidR="00BF198B" w:rsidRDefault="00BF198B" w:rsidP="009031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Music Centre members</w:t>
            </w:r>
          </w:p>
        </w:tc>
        <w:tc>
          <w:tcPr>
            <w:tcW w:w="1276" w:type="dxa"/>
            <w:vAlign w:val="center"/>
          </w:tcPr>
          <w:p w14:paraId="2B9ECA03" w14:textId="39A1DE23" w:rsidR="00BF198B" w:rsidRDefault="00F615FA" w:rsidP="009031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50% subsidy rate</w:t>
            </w:r>
          </w:p>
        </w:tc>
        <w:tc>
          <w:tcPr>
            <w:tcW w:w="2518" w:type="dxa"/>
            <w:gridSpan w:val="2"/>
            <w:vAlign w:val="center"/>
          </w:tcPr>
          <w:p w14:paraId="55EC8E40" w14:textId="4906618B" w:rsidR="00BF198B" w:rsidRDefault="00BF198B" w:rsidP="004D55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group lessons are 30 min</w:t>
            </w:r>
            <w:r w:rsidR="00864AF8">
              <w:rPr>
                <w:rFonts w:asciiTheme="minorHAnsi" w:hAnsiTheme="minorHAnsi"/>
                <w:sz w:val="22"/>
                <w:szCs w:val="22"/>
              </w:rPr>
              <w:t>s</w:t>
            </w:r>
          </w:p>
        </w:tc>
      </w:tr>
      <w:tr w:rsidR="00BF198B" w:rsidRPr="008C167B" w14:paraId="393170A5" w14:textId="77777777" w:rsidTr="009031C9">
        <w:trPr>
          <w:trHeight w:val="477"/>
        </w:trPr>
        <w:tc>
          <w:tcPr>
            <w:tcW w:w="1165" w:type="dxa"/>
            <w:vAlign w:val="center"/>
          </w:tcPr>
          <w:p w14:paraId="5360FC9B" w14:textId="3B6F77E2" w:rsidR="00BF198B" w:rsidRPr="004D5594" w:rsidRDefault="00BF198B" w:rsidP="009031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D5594">
              <w:rPr>
                <w:rFonts w:asciiTheme="minorHAnsi" w:hAnsiTheme="minorHAnsi"/>
                <w:sz w:val="22"/>
                <w:szCs w:val="22"/>
              </w:rPr>
              <w:t>20 mins</w:t>
            </w:r>
          </w:p>
        </w:tc>
        <w:tc>
          <w:tcPr>
            <w:tcW w:w="1274" w:type="dxa"/>
            <w:vAlign w:val="center"/>
          </w:tcPr>
          <w:p w14:paraId="4AC7AA7D" w14:textId="500A8040" w:rsidR="00BF198B" w:rsidRPr="00B636F8" w:rsidRDefault="00BF198B" w:rsidP="009031C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36F8">
              <w:rPr>
                <w:rFonts w:asciiTheme="minorHAnsi" w:hAnsiTheme="minorHAnsi"/>
                <w:b/>
                <w:sz w:val="22"/>
                <w:szCs w:val="22"/>
              </w:rPr>
              <w:t>£1</w:t>
            </w:r>
            <w:r w:rsidR="00B63CF6">
              <w:rPr>
                <w:rFonts w:asciiTheme="minorHAnsi" w:hAnsiTheme="minorHAnsi"/>
                <w:b/>
                <w:sz w:val="22"/>
                <w:szCs w:val="22"/>
              </w:rPr>
              <w:t>62</w:t>
            </w:r>
          </w:p>
        </w:tc>
        <w:tc>
          <w:tcPr>
            <w:tcW w:w="1559" w:type="dxa"/>
            <w:vAlign w:val="center"/>
          </w:tcPr>
          <w:p w14:paraId="68E451A1" w14:textId="295CB0F1" w:rsidR="00BF198B" w:rsidRPr="00B636F8" w:rsidRDefault="00BF198B" w:rsidP="009031C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36F8">
              <w:rPr>
                <w:rFonts w:asciiTheme="minorHAnsi" w:hAnsiTheme="minorHAnsi"/>
                <w:b/>
                <w:sz w:val="22"/>
                <w:szCs w:val="22"/>
              </w:rPr>
              <w:t>£1</w:t>
            </w:r>
            <w:r w:rsidR="00B63CF6">
              <w:rPr>
                <w:rFonts w:asciiTheme="minorHAnsi" w:hAnsiTheme="minorHAnsi"/>
                <w:b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14:paraId="1716496A" w14:textId="621E0ABA" w:rsidR="00BF198B" w:rsidRPr="00F236AD" w:rsidRDefault="00F236AD" w:rsidP="009031C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6AD">
              <w:rPr>
                <w:rFonts w:asciiTheme="minorHAnsi" w:hAnsiTheme="minorHAnsi"/>
                <w:b/>
                <w:bCs/>
                <w:sz w:val="22"/>
                <w:szCs w:val="22"/>
              </w:rPr>
              <w:t>£</w:t>
            </w:r>
            <w:r w:rsidR="00B63CF6">
              <w:rPr>
                <w:rFonts w:asciiTheme="minorHAnsi" w:hAnsiTheme="minorHAnsi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1281" w:type="dxa"/>
            <w:vAlign w:val="center"/>
          </w:tcPr>
          <w:p w14:paraId="1A1C6DA0" w14:textId="05B8A172" w:rsidR="00BF198B" w:rsidRPr="008C167B" w:rsidRDefault="00BF198B" w:rsidP="009031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Small Group</w:t>
            </w:r>
          </w:p>
        </w:tc>
        <w:tc>
          <w:tcPr>
            <w:tcW w:w="1237" w:type="dxa"/>
            <w:vAlign w:val="center"/>
          </w:tcPr>
          <w:p w14:paraId="4FA64853" w14:textId="2B1AE849" w:rsidR="00BF198B" w:rsidRPr="00B636F8" w:rsidRDefault="00BF198B" w:rsidP="009031C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36F8">
              <w:rPr>
                <w:rFonts w:asciiTheme="minorHAnsi" w:hAnsiTheme="minorHAnsi"/>
                <w:b/>
                <w:sz w:val="22"/>
                <w:szCs w:val="22"/>
              </w:rPr>
              <w:t>£1</w:t>
            </w:r>
            <w:r w:rsidR="00B63CF6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</w:tr>
      <w:tr w:rsidR="00BF198B" w:rsidRPr="008C167B" w14:paraId="69EDEE70" w14:textId="77777777" w:rsidTr="009031C9">
        <w:trPr>
          <w:trHeight w:val="554"/>
        </w:trPr>
        <w:tc>
          <w:tcPr>
            <w:tcW w:w="1165" w:type="dxa"/>
            <w:vAlign w:val="center"/>
          </w:tcPr>
          <w:p w14:paraId="38BB3146" w14:textId="783D20AB" w:rsidR="00BF198B" w:rsidRPr="004D5594" w:rsidRDefault="00BF198B" w:rsidP="009031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D5594">
              <w:rPr>
                <w:rFonts w:asciiTheme="minorHAnsi" w:hAnsiTheme="minorHAnsi"/>
                <w:sz w:val="22"/>
                <w:szCs w:val="22"/>
              </w:rPr>
              <w:t>30 mins</w:t>
            </w:r>
          </w:p>
        </w:tc>
        <w:tc>
          <w:tcPr>
            <w:tcW w:w="1274" w:type="dxa"/>
            <w:vAlign w:val="center"/>
          </w:tcPr>
          <w:p w14:paraId="005E2147" w14:textId="102A0857" w:rsidR="00BF198B" w:rsidRPr="00B636F8" w:rsidRDefault="00BF198B" w:rsidP="009031C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36F8">
              <w:rPr>
                <w:rFonts w:asciiTheme="minorHAnsi" w:hAnsiTheme="minorHAnsi"/>
                <w:b/>
                <w:sz w:val="22"/>
                <w:szCs w:val="22"/>
              </w:rPr>
              <w:t>£2</w:t>
            </w:r>
            <w:r w:rsidR="00B63CF6">
              <w:rPr>
                <w:rFonts w:asciiTheme="minorHAnsi" w:hAnsiTheme="minorHAnsi"/>
                <w:b/>
                <w:sz w:val="22"/>
                <w:szCs w:val="22"/>
              </w:rPr>
              <w:t>42</w:t>
            </w:r>
          </w:p>
        </w:tc>
        <w:tc>
          <w:tcPr>
            <w:tcW w:w="1559" w:type="dxa"/>
            <w:vAlign w:val="center"/>
          </w:tcPr>
          <w:p w14:paraId="362F41EA" w14:textId="1BF70005" w:rsidR="00BF198B" w:rsidRPr="00B636F8" w:rsidRDefault="00BF198B" w:rsidP="009031C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36F8">
              <w:rPr>
                <w:rFonts w:asciiTheme="minorHAnsi" w:hAnsiTheme="minorHAnsi"/>
                <w:b/>
                <w:sz w:val="22"/>
                <w:szCs w:val="22"/>
              </w:rPr>
              <w:t>£2</w:t>
            </w:r>
            <w:r w:rsidR="00B63CF6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3FF431C0" w14:textId="270B9396" w:rsidR="00BF198B" w:rsidRPr="00F236AD" w:rsidRDefault="00F236AD" w:rsidP="009031C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36AD">
              <w:rPr>
                <w:rFonts w:asciiTheme="minorHAnsi" w:hAnsiTheme="minorHAnsi"/>
                <w:b/>
                <w:bCs/>
                <w:sz w:val="22"/>
                <w:szCs w:val="22"/>
              </w:rPr>
              <w:t>£1</w:t>
            </w:r>
            <w:r w:rsidR="00B63CF6"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81" w:type="dxa"/>
            <w:vAlign w:val="center"/>
          </w:tcPr>
          <w:p w14:paraId="4E006C6D" w14:textId="4D0B276C" w:rsidR="00BF198B" w:rsidRPr="008C167B" w:rsidRDefault="00BF198B" w:rsidP="009031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Large Group</w:t>
            </w:r>
          </w:p>
        </w:tc>
        <w:tc>
          <w:tcPr>
            <w:tcW w:w="1237" w:type="dxa"/>
            <w:vAlign w:val="center"/>
          </w:tcPr>
          <w:p w14:paraId="014C5F3A" w14:textId="0F3FDE66" w:rsidR="00BF198B" w:rsidRPr="00B636F8" w:rsidRDefault="00BF198B" w:rsidP="009031C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36F8">
              <w:rPr>
                <w:rFonts w:asciiTheme="minorHAnsi" w:hAnsiTheme="minorHAnsi"/>
                <w:b/>
                <w:sz w:val="22"/>
                <w:szCs w:val="22"/>
              </w:rPr>
              <w:t>£</w:t>
            </w:r>
            <w:r w:rsidR="00B63CF6">
              <w:rPr>
                <w:rFonts w:asciiTheme="minorHAnsi" w:hAnsiTheme="minorHAnsi"/>
                <w:b/>
                <w:sz w:val="22"/>
                <w:szCs w:val="22"/>
              </w:rPr>
              <w:t>80</w:t>
            </w:r>
          </w:p>
        </w:tc>
      </w:tr>
    </w:tbl>
    <w:p w14:paraId="67E12BA2" w14:textId="38BE9C0D" w:rsidR="00833EFE" w:rsidRPr="009031C9" w:rsidRDefault="00093567" w:rsidP="00093567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9031C9">
        <w:rPr>
          <w:rFonts w:asciiTheme="minorHAnsi" w:hAnsiTheme="minorHAnsi"/>
          <w:sz w:val="20"/>
          <w:szCs w:val="20"/>
        </w:rPr>
        <w:t xml:space="preserve">Small </w:t>
      </w:r>
      <w:r w:rsidR="004B638D" w:rsidRPr="009031C9">
        <w:rPr>
          <w:rFonts w:asciiTheme="minorHAnsi" w:hAnsiTheme="minorHAnsi"/>
          <w:sz w:val="20"/>
          <w:szCs w:val="20"/>
        </w:rPr>
        <w:t>G</w:t>
      </w:r>
      <w:r w:rsidRPr="009031C9">
        <w:rPr>
          <w:rFonts w:asciiTheme="minorHAnsi" w:hAnsiTheme="minorHAnsi"/>
          <w:sz w:val="20"/>
          <w:szCs w:val="20"/>
        </w:rPr>
        <w:t>roup is for 2/3 pupils – up to Grade 2</w:t>
      </w:r>
      <w:r w:rsidR="009031C9">
        <w:rPr>
          <w:rFonts w:asciiTheme="minorHAnsi" w:hAnsiTheme="minorHAnsi"/>
          <w:sz w:val="20"/>
          <w:szCs w:val="20"/>
        </w:rPr>
        <w:t xml:space="preserve"> when it is recommended to move to an individual lesson</w:t>
      </w:r>
    </w:p>
    <w:p w14:paraId="4453CF33" w14:textId="156867CA" w:rsidR="008C0198" w:rsidRPr="009031C9" w:rsidRDefault="004B638D" w:rsidP="00454754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9031C9">
        <w:rPr>
          <w:rFonts w:asciiTheme="minorHAnsi" w:hAnsiTheme="minorHAnsi"/>
          <w:sz w:val="20"/>
          <w:szCs w:val="20"/>
        </w:rPr>
        <w:t>Large G</w:t>
      </w:r>
      <w:r w:rsidR="00093567" w:rsidRPr="009031C9">
        <w:rPr>
          <w:rFonts w:asciiTheme="minorHAnsi" w:hAnsiTheme="minorHAnsi"/>
          <w:sz w:val="20"/>
          <w:szCs w:val="20"/>
        </w:rPr>
        <w:t>roup is for 4 – 6 pupils – up to Grade 1</w:t>
      </w:r>
      <w:r w:rsidR="00454754" w:rsidRPr="009031C9">
        <w:rPr>
          <w:rFonts w:asciiTheme="minorHAnsi" w:hAnsiTheme="minorHAnsi"/>
          <w:sz w:val="20"/>
          <w:szCs w:val="20"/>
        </w:rPr>
        <w:t xml:space="preserve"> and </w:t>
      </w:r>
      <w:r w:rsidR="00EA1205" w:rsidRPr="009031C9">
        <w:rPr>
          <w:rFonts w:asciiTheme="minorHAnsi" w:hAnsiTheme="minorHAnsi"/>
          <w:sz w:val="20"/>
          <w:szCs w:val="20"/>
        </w:rPr>
        <w:t>is intended to</w:t>
      </w:r>
      <w:r w:rsidR="008C0198" w:rsidRPr="009031C9">
        <w:rPr>
          <w:rFonts w:asciiTheme="minorHAnsi" w:hAnsiTheme="minorHAnsi"/>
          <w:sz w:val="20"/>
          <w:szCs w:val="20"/>
        </w:rPr>
        <w:t xml:space="preserve"> follow on from W</w:t>
      </w:r>
      <w:r w:rsidR="009031C9">
        <w:rPr>
          <w:rFonts w:asciiTheme="minorHAnsi" w:hAnsiTheme="minorHAnsi"/>
          <w:sz w:val="20"/>
          <w:szCs w:val="20"/>
        </w:rPr>
        <w:t>hole Class Provision in schools</w:t>
      </w:r>
      <w:r w:rsidR="00121B15" w:rsidRPr="009031C9">
        <w:rPr>
          <w:rFonts w:asciiTheme="minorHAnsi" w:hAnsiTheme="minorHAnsi"/>
          <w:sz w:val="20"/>
          <w:szCs w:val="20"/>
        </w:rPr>
        <w:t xml:space="preserve"> for those pupils who want to</w:t>
      </w:r>
      <w:r w:rsidRPr="009031C9">
        <w:rPr>
          <w:rFonts w:asciiTheme="minorHAnsi" w:hAnsiTheme="minorHAnsi"/>
          <w:sz w:val="20"/>
          <w:szCs w:val="20"/>
        </w:rPr>
        <w:t xml:space="preserve"> continue learning or start learning an instrument</w:t>
      </w:r>
    </w:p>
    <w:p w14:paraId="5E40C033" w14:textId="77777777" w:rsidR="00454754" w:rsidRPr="009031C9" w:rsidRDefault="00454754" w:rsidP="00B636F8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9031C9">
        <w:rPr>
          <w:rFonts w:asciiTheme="minorHAnsi" w:hAnsiTheme="minorHAnsi"/>
          <w:sz w:val="20"/>
          <w:szCs w:val="20"/>
        </w:rPr>
        <w:t xml:space="preserve">Longer lessons are available for senior students – enquire at </w:t>
      </w:r>
      <w:hyperlink r:id="rId7" w:history="1">
        <w:r w:rsidR="00B636F8" w:rsidRPr="009031C9">
          <w:rPr>
            <w:rStyle w:val="Hyperlink"/>
            <w:rFonts w:asciiTheme="minorHAnsi" w:hAnsiTheme="minorHAnsi"/>
            <w:sz w:val="20"/>
            <w:szCs w:val="20"/>
          </w:rPr>
          <w:t>musicservice@bucksmusic.org</w:t>
        </w:r>
      </w:hyperlink>
      <w:r w:rsidR="00B636F8" w:rsidRPr="009031C9">
        <w:rPr>
          <w:rFonts w:asciiTheme="minorHAnsi" w:hAnsiTheme="minorHAnsi"/>
          <w:sz w:val="20"/>
          <w:szCs w:val="20"/>
        </w:rPr>
        <w:t xml:space="preserve"> </w:t>
      </w:r>
    </w:p>
    <w:p w14:paraId="751A5B36" w14:textId="77777777" w:rsidR="00454754" w:rsidRPr="009031C9" w:rsidRDefault="00454754" w:rsidP="00121B15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9031C9">
        <w:rPr>
          <w:rFonts w:asciiTheme="minorHAnsi" w:hAnsiTheme="minorHAnsi"/>
          <w:sz w:val="20"/>
          <w:szCs w:val="20"/>
        </w:rPr>
        <w:t xml:space="preserve">Individual lessons have </w:t>
      </w:r>
      <w:r w:rsidR="00B636F8" w:rsidRPr="009031C9">
        <w:rPr>
          <w:rFonts w:asciiTheme="minorHAnsi" w:hAnsiTheme="minorHAnsi"/>
          <w:sz w:val="20"/>
          <w:szCs w:val="20"/>
        </w:rPr>
        <w:t>discounted rates for Music Centre members to recogni</w:t>
      </w:r>
      <w:r w:rsidR="004B638D" w:rsidRPr="009031C9">
        <w:rPr>
          <w:rFonts w:asciiTheme="minorHAnsi" w:hAnsiTheme="minorHAnsi"/>
          <w:sz w:val="20"/>
          <w:szCs w:val="20"/>
        </w:rPr>
        <w:t>s</w:t>
      </w:r>
      <w:r w:rsidR="00B636F8" w:rsidRPr="009031C9">
        <w:rPr>
          <w:rFonts w:asciiTheme="minorHAnsi" w:hAnsiTheme="minorHAnsi"/>
          <w:sz w:val="20"/>
          <w:szCs w:val="20"/>
        </w:rPr>
        <w:t>e the value of playing in ensembles to the development of instrumental skills</w:t>
      </w:r>
      <w:r w:rsidR="00EB29DD" w:rsidRPr="009031C9">
        <w:rPr>
          <w:rFonts w:asciiTheme="minorHAnsi" w:hAnsiTheme="minorHAnsi"/>
          <w:sz w:val="20"/>
          <w:szCs w:val="20"/>
        </w:rPr>
        <w:t xml:space="preserve">. The discounted rate shown above is for lessons and </w:t>
      </w:r>
      <w:r w:rsidR="00EB29DD" w:rsidRPr="009031C9">
        <w:rPr>
          <w:rFonts w:asciiTheme="minorHAnsi" w:hAnsiTheme="minorHAnsi"/>
          <w:b/>
          <w:sz w:val="20"/>
          <w:szCs w:val="20"/>
        </w:rPr>
        <w:t>does not</w:t>
      </w:r>
      <w:r w:rsidR="00EB29DD" w:rsidRPr="009031C9">
        <w:rPr>
          <w:rFonts w:asciiTheme="minorHAnsi" w:hAnsiTheme="minorHAnsi"/>
          <w:sz w:val="20"/>
          <w:szCs w:val="20"/>
        </w:rPr>
        <w:t xml:space="preserve"> include the Music Centre membership – this remains at £80.</w:t>
      </w:r>
    </w:p>
    <w:p w14:paraId="0F2A1C08" w14:textId="77777777" w:rsidR="00454754" w:rsidRPr="00832C79" w:rsidRDefault="00454754" w:rsidP="00833EFE">
      <w:pPr>
        <w:rPr>
          <w:rFonts w:asciiTheme="minorHAnsi" w:hAnsiTheme="minorHAnsi"/>
          <w:b/>
          <w:sz w:val="16"/>
          <w:szCs w:val="16"/>
        </w:rPr>
      </w:pPr>
    </w:p>
    <w:p w14:paraId="5D822AA8" w14:textId="77777777" w:rsidR="00454754" w:rsidRPr="00B636F8" w:rsidRDefault="00454754" w:rsidP="00454754">
      <w:pPr>
        <w:rPr>
          <w:rFonts w:asciiTheme="minorHAnsi" w:hAnsiTheme="minorHAnsi"/>
          <w:b/>
        </w:rPr>
      </w:pPr>
      <w:r w:rsidRPr="00B636F8">
        <w:rPr>
          <w:rFonts w:asciiTheme="minorHAnsi" w:hAnsiTheme="minorHAnsi"/>
          <w:b/>
        </w:rPr>
        <w:t>Music Centre</w:t>
      </w:r>
      <w:r w:rsidR="00B636F8" w:rsidRPr="00B636F8">
        <w:rPr>
          <w:rFonts w:asciiTheme="minorHAnsi" w:hAnsiTheme="minorHAnsi"/>
          <w:b/>
        </w:rPr>
        <w:t xml:space="preserve"> membership</w:t>
      </w:r>
      <w:r w:rsidR="00B636F8" w:rsidRPr="00B636F8">
        <w:rPr>
          <w:rFonts w:asciiTheme="minorHAnsi" w:hAnsiTheme="minorHAnsi"/>
          <w:b/>
        </w:rPr>
        <w:tab/>
        <w:t>£80 per term</w:t>
      </w:r>
    </w:p>
    <w:p w14:paraId="65AB615F" w14:textId="686B27E4" w:rsidR="00454754" w:rsidRDefault="00454754" w:rsidP="0045475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Membership gives access to </w:t>
      </w:r>
      <w:r w:rsidRPr="00864AF8">
        <w:rPr>
          <w:rFonts w:asciiTheme="minorHAnsi" w:hAnsiTheme="minorHAnsi"/>
          <w:b/>
          <w:bCs/>
          <w:sz w:val="22"/>
          <w:szCs w:val="22"/>
        </w:rPr>
        <w:t>all</w:t>
      </w:r>
      <w:r>
        <w:rPr>
          <w:rFonts w:asciiTheme="minorHAnsi" w:hAnsiTheme="minorHAnsi"/>
          <w:sz w:val="22"/>
          <w:szCs w:val="22"/>
        </w:rPr>
        <w:t xml:space="preserve"> ensembles at </w:t>
      </w:r>
      <w:r w:rsidR="00864AF8" w:rsidRPr="00864AF8">
        <w:rPr>
          <w:rFonts w:asciiTheme="minorHAnsi" w:hAnsiTheme="minorHAnsi"/>
          <w:b/>
          <w:bCs/>
          <w:sz w:val="22"/>
          <w:szCs w:val="22"/>
        </w:rPr>
        <w:t>all</w:t>
      </w:r>
      <w:r w:rsidR="00864AF8">
        <w:rPr>
          <w:rFonts w:asciiTheme="minorHAnsi" w:hAnsiTheme="minorHAnsi"/>
          <w:sz w:val="22"/>
          <w:szCs w:val="22"/>
        </w:rPr>
        <w:t xml:space="preserve"> </w:t>
      </w:r>
      <w:r w:rsidR="00D64EAC">
        <w:rPr>
          <w:rFonts w:asciiTheme="minorHAnsi" w:hAnsiTheme="minorHAnsi"/>
          <w:sz w:val="22"/>
          <w:szCs w:val="22"/>
        </w:rPr>
        <w:t>our Music</w:t>
      </w:r>
      <w:r>
        <w:rPr>
          <w:rFonts w:asciiTheme="minorHAnsi" w:hAnsiTheme="minorHAnsi"/>
          <w:sz w:val="22"/>
          <w:szCs w:val="22"/>
        </w:rPr>
        <w:t xml:space="preserve"> Centre</w:t>
      </w:r>
      <w:r w:rsidR="00D64EAC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, including Hi-Gain</w:t>
      </w:r>
    </w:p>
    <w:p w14:paraId="7AC35A64" w14:textId="77777777" w:rsidR="00B636F8" w:rsidRDefault="00B636F8" w:rsidP="0045475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Details of all Music Centre </w:t>
      </w:r>
      <w:r w:rsidR="00EB29DD">
        <w:rPr>
          <w:rFonts w:asciiTheme="minorHAnsi" w:hAnsiTheme="minorHAnsi"/>
          <w:sz w:val="22"/>
          <w:szCs w:val="22"/>
        </w:rPr>
        <w:t>timetables</w:t>
      </w:r>
      <w:r>
        <w:rPr>
          <w:rFonts w:asciiTheme="minorHAnsi" w:hAnsiTheme="minorHAnsi"/>
          <w:sz w:val="22"/>
          <w:szCs w:val="22"/>
        </w:rPr>
        <w:t xml:space="preserve"> are on our website: </w:t>
      </w:r>
      <w:hyperlink r:id="rId8" w:history="1">
        <w:r w:rsidRPr="00EE2452">
          <w:rPr>
            <w:rStyle w:val="Hyperlink"/>
            <w:rFonts w:asciiTheme="minorHAnsi" w:hAnsiTheme="minorHAnsi"/>
            <w:sz w:val="22"/>
            <w:szCs w:val="22"/>
          </w:rPr>
          <w:t>www.bucksmusic.org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336FA936" w14:textId="68E28FF4" w:rsidR="00D64EAC" w:rsidRDefault="00F615FA" w:rsidP="0045475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Music Centre members receive a discount on individual instrumental/vocal lessons</w:t>
      </w:r>
    </w:p>
    <w:p w14:paraId="5DBB5242" w14:textId="77777777" w:rsidR="00454754" w:rsidRPr="00832C79" w:rsidRDefault="00454754" w:rsidP="00454754">
      <w:pPr>
        <w:rPr>
          <w:rFonts w:asciiTheme="minorHAnsi" w:hAnsiTheme="minorHAnsi"/>
          <w:sz w:val="16"/>
          <w:szCs w:val="16"/>
        </w:rPr>
      </w:pPr>
    </w:p>
    <w:p w14:paraId="764F9F6A" w14:textId="77777777" w:rsidR="00454754" w:rsidRPr="00B636F8" w:rsidRDefault="00454754" w:rsidP="00454754">
      <w:pPr>
        <w:rPr>
          <w:rFonts w:asciiTheme="minorHAnsi" w:hAnsiTheme="minorHAnsi"/>
          <w:b/>
        </w:rPr>
      </w:pPr>
      <w:r w:rsidRPr="00B636F8">
        <w:rPr>
          <w:rFonts w:asciiTheme="minorHAnsi" w:hAnsiTheme="minorHAnsi"/>
          <w:b/>
        </w:rPr>
        <w:t xml:space="preserve">Instrument </w:t>
      </w:r>
      <w:r w:rsidR="004B638D">
        <w:rPr>
          <w:rFonts w:asciiTheme="minorHAnsi" w:hAnsiTheme="minorHAnsi"/>
          <w:b/>
        </w:rPr>
        <w:t>hire</w:t>
      </w:r>
    </w:p>
    <w:p w14:paraId="67A3A5DC" w14:textId="77777777" w:rsidR="00454754" w:rsidRDefault="004B638D" w:rsidP="0045475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instruments </w:t>
      </w:r>
      <w:r w:rsidRPr="004B638D">
        <w:rPr>
          <w:rFonts w:asciiTheme="minorHAnsi" w:hAnsiTheme="minorHAnsi"/>
          <w:sz w:val="22"/>
          <w:szCs w:val="22"/>
        </w:rPr>
        <w:t xml:space="preserve">from our stock </w:t>
      </w:r>
      <w:r>
        <w:rPr>
          <w:rFonts w:asciiTheme="minorHAnsi" w:hAnsiTheme="minorHAnsi"/>
          <w:sz w:val="22"/>
          <w:szCs w:val="22"/>
        </w:rPr>
        <w:t>(</w:t>
      </w:r>
      <w:r w:rsidRPr="004B638D">
        <w:rPr>
          <w:rFonts w:asciiTheme="minorHAnsi" w:hAnsiTheme="minorHAnsi"/>
          <w:sz w:val="22"/>
          <w:szCs w:val="22"/>
        </w:rPr>
        <w:t>subject to availability</w:t>
      </w:r>
      <w:r>
        <w:rPr>
          <w:rFonts w:asciiTheme="minorHAnsi" w:hAnsiTheme="minorHAnsi"/>
          <w:sz w:val="22"/>
          <w:szCs w:val="22"/>
        </w:rPr>
        <w:t xml:space="preserve">) can be hired at a </w:t>
      </w:r>
      <w:r w:rsidR="00B636F8">
        <w:rPr>
          <w:rFonts w:asciiTheme="minorHAnsi" w:hAnsiTheme="minorHAnsi"/>
          <w:sz w:val="22"/>
          <w:szCs w:val="22"/>
        </w:rPr>
        <w:t>cost</w:t>
      </w:r>
      <w:r>
        <w:rPr>
          <w:rFonts w:asciiTheme="minorHAnsi" w:hAnsiTheme="minorHAnsi"/>
          <w:sz w:val="22"/>
          <w:szCs w:val="22"/>
        </w:rPr>
        <w:t xml:space="preserve"> of</w:t>
      </w:r>
      <w:r w:rsidR="00B636F8">
        <w:rPr>
          <w:rFonts w:asciiTheme="minorHAnsi" w:hAnsiTheme="minorHAnsi"/>
          <w:sz w:val="22"/>
          <w:szCs w:val="22"/>
        </w:rPr>
        <w:t xml:space="preserve"> </w:t>
      </w:r>
      <w:r w:rsidR="00B636F8" w:rsidRPr="00B636F8">
        <w:rPr>
          <w:rFonts w:asciiTheme="minorHAnsi" w:hAnsiTheme="minorHAnsi"/>
          <w:b/>
          <w:sz w:val="22"/>
          <w:szCs w:val="22"/>
        </w:rPr>
        <w:t>£25 per term</w:t>
      </w:r>
    </w:p>
    <w:p w14:paraId="0C1EC89C" w14:textId="77777777" w:rsidR="00B636F8" w:rsidRDefault="00B636F8" w:rsidP="0045475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Loans are available to all young musicians in Buckinghamshire, but priority is given to BMT Music Centre members</w:t>
      </w:r>
    </w:p>
    <w:p w14:paraId="1402BA6D" w14:textId="77777777" w:rsidR="00454754" w:rsidRPr="003A47F5" w:rsidRDefault="00454754" w:rsidP="00454754">
      <w:pPr>
        <w:rPr>
          <w:rFonts w:asciiTheme="minorHAnsi" w:hAnsiTheme="minorHAnsi"/>
          <w:sz w:val="16"/>
          <w:szCs w:val="16"/>
        </w:rPr>
      </w:pPr>
    </w:p>
    <w:p w14:paraId="2209BF6B" w14:textId="68AA3D7F" w:rsidR="00EB29DD" w:rsidRPr="006F2212" w:rsidRDefault="00EB29DD" w:rsidP="006F2212">
      <w:pPr>
        <w:rPr>
          <w:rFonts w:asciiTheme="minorHAnsi" w:hAnsiTheme="minorHAnsi"/>
          <w:sz w:val="22"/>
          <w:szCs w:val="22"/>
        </w:rPr>
      </w:pPr>
    </w:p>
    <w:sectPr w:rsidR="00EB29DD" w:rsidRPr="006F2212" w:rsidSect="009031C9">
      <w:headerReference w:type="default" r:id="rId9"/>
      <w:footerReference w:type="default" r:id="rId10"/>
      <w:pgSz w:w="11906" w:h="16838"/>
      <w:pgMar w:top="993" w:right="1416" w:bottom="1135" w:left="1276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EC40" w14:textId="77777777" w:rsidR="00A323E5" w:rsidRDefault="00A323E5" w:rsidP="008F4AEA">
      <w:r>
        <w:separator/>
      </w:r>
    </w:p>
  </w:endnote>
  <w:endnote w:type="continuationSeparator" w:id="0">
    <w:p w14:paraId="46187EE9" w14:textId="77777777" w:rsidR="00A323E5" w:rsidRDefault="00A323E5" w:rsidP="008F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asmineUPC">
    <w:charset w:val="DE"/>
    <w:family w:val="roman"/>
    <w:pitch w:val="variable"/>
    <w:sig w:usb0="8100000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5A36" w14:textId="77777777" w:rsidR="008F4AEA" w:rsidRDefault="008F4AEA" w:rsidP="00FA7281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05AE4A5B" wp14:editId="0A673D2F">
          <wp:extent cx="1967595" cy="522515"/>
          <wp:effectExtent l="0" t="0" r="0" b="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E A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047" cy="521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37D1" w14:textId="77777777" w:rsidR="00A323E5" w:rsidRDefault="00A323E5" w:rsidP="008F4AEA">
      <w:r>
        <w:separator/>
      </w:r>
    </w:p>
  </w:footnote>
  <w:footnote w:type="continuationSeparator" w:id="0">
    <w:p w14:paraId="4F7073F4" w14:textId="77777777" w:rsidR="00A323E5" w:rsidRDefault="00A323E5" w:rsidP="008F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E252" w14:textId="77777777" w:rsidR="008F4AEA" w:rsidRPr="008F4AEA" w:rsidRDefault="008F4AEA" w:rsidP="00E736D1">
    <w:pPr>
      <w:jc w:val="right"/>
      <w:rPr>
        <w:rFonts w:ascii="Lucida Handwriting" w:hAnsi="Lucida Handwriting" w:cs="JasmineUPC"/>
        <w:i/>
        <w:color w:val="595959" w:themeColor="text1" w:themeTint="A6"/>
        <w:sz w:val="36"/>
        <w:szCs w:val="36"/>
      </w:rPr>
    </w:pPr>
    <w:r>
      <w:rPr>
        <w:rFonts w:cs="Arial"/>
        <w:color w:val="17365D" w:themeColor="text2" w:themeShade="BF"/>
        <w:sz w:val="20"/>
        <w:szCs w:val="20"/>
      </w:rPr>
      <w:tab/>
    </w:r>
    <w:r>
      <w:rPr>
        <w:rFonts w:cs="Arial"/>
        <w:color w:val="17365D" w:themeColor="text2" w:themeShade="BF"/>
        <w:sz w:val="20"/>
        <w:szCs w:val="20"/>
      </w:rPr>
      <w:tab/>
    </w:r>
    <w:r>
      <w:rPr>
        <w:rFonts w:cs="Arial"/>
        <w:color w:val="17365D" w:themeColor="text2" w:themeShade="BF"/>
        <w:sz w:val="20"/>
        <w:szCs w:val="20"/>
      </w:rPr>
      <w:tab/>
    </w:r>
    <w:r>
      <w:rPr>
        <w:rFonts w:cs="Arial"/>
        <w:color w:val="17365D" w:themeColor="text2" w:themeShade="BF"/>
        <w:sz w:val="20"/>
        <w:szCs w:val="20"/>
      </w:rPr>
      <w:tab/>
    </w:r>
    <w:r>
      <w:rPr>
        <w:rFonts w:cs="Arial"/>
        <w:color w:val="17365D" w:themeColor="text2" w:themeShade="BF"/>
        <w:sz w:val="20"/>
        <w:szCs w:val="20"/>
      </w:rPr>
      <w:tab/>
    </w:r>
    <w:r>
      <w:rPr>
        <w:rFonts w:cs="Arial"/>
        <w:color w:val="17365D" w:themeColor="text2" w:themeShade="BF"/>
        <w:sz w:val="20"/>
        <w:szCs w:val="20"/>
      </w:rPr>
      <w:tab/>
    </w:r>
    <w:r>
      <w:rPr>
        <w:rFonts w:cs="Arial"/>
        <w:color w:val="17365D" w:themeColor="text2" w:themeShade="BF"/>
        <w:sz w:val="20"/>
        <w:szCs w:val="20"/>
      </w:rPr>
      <w:tab/>
    </w:r>
    <w:r>
      <w:rPr>
        <w:rFonts w:cs="Arial"/>
        <w:color w:val="17365D" w:themeColor="text2" w:themeShade="BF"/>
        <w:sz w:val="20"/>
        <w:szCs w:val="20"/>
      </w:rPr>
      <w:tab/>
      <w:t xml:space="preserve">       </w:t>
    </w:r>
    <w:r w:rsidR="00FA7281">
      <w:rPr>
        <w:rFonts w:ascii="Lucida Handwriting" w:hAnsi="Lucida Handwriting" w:cs="JasmineUPC"/>
        <w:i/>
        <w:noProof/>
        <w:color w:val="595959" w:themeColor="text1" w:themeTint="A6"/>
        <w:sz w:val="36"/>
        <w:szCs w:val="36"/>
        <w:lang w:val="en-GB" w:eastAsia="en-GB"/>
      </w:rPr>
      <w:drawing>
        <wp:inline distT="0" distB="0" distL="0" distR="0" wp14:anchorId="195DEFE4" wp14:editId="7DD0DBB6">
          <wp:extent cx="1423035" cy="505183"/>
          <wp:effectExtent l="0" t="0" r="5715" b="9525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205" cy="509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4D2DF7" w14:textId="77777777" w:rsidR="008F4AEA" w:rsidRDefault="008F4AEA" w:rsidP="008F4AE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80A"/>
    <w:multiLevelType w:val="hybridMultilevel"/>
    <w:tmpl w:val="75BAC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A94"/>
    <w:multiLevelType w:val="hybridMultilevel"/>
    <w:tmpl w:val="5E80B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73C99"/>
    <w:multiLevelType w:val="hybridMultilevel"/>
    <w:tmpl w:val="D35E4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0D89"/>
    <w:multiLevelType w:val="hybridMultilevel"/>
    <w:tmpl w:val="F0C2E106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8100AE7"/>
    <w:multiLevelType w:val="hybridMultilevel"/>
    <w:tmpl w:val="E04EC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A2402"/>
    <w:multiLevelType w:val="hybridMultilevel"/>
    <w:tmpl w:val="467A0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26FD5"/>
    <w:multiLevelType w:val="hybridMultilevel"/>
    <w:tmpl w:val="31AACE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466976"/>
    <w:multiLevelType w:val="hybridMultilevel"/>
    <w:tmpl w:val="3010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3035F"/>
    <w:multiLevelType w:val="hybridMultilevel"/>
    <w:tmpl w:val="E812A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6D0"/>
    <w:multiLevelType w:val="hybridMultilevel"/>
    <w:tmpl w:val="80A26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31FF5"/>
    <w:multiLevelType w:val="hybridMultilevel"/>
    <w:tmpl w:val="83D289F0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49499869">
    <w:abstractNumId w:val="1"/>
  </w:num>
  <w:num w:numId="2" w16cid:durableId="1691030783">
    <w:abstractNumId w:val="2"/>
  </w:num>
  <w:num w:numId="3" w16cid:durableId="93939182">
    <w:abstractNumId w:val="4"/>
  </w:num>
  <w:num w:numId="4" w16cid:durableId="685714223">
    <w:abstractNumId w:val="5"/>
  </w:num>
  <w:num w:numId="5" w16cid:durableId="1032416068">
    <w:abstractNumId w:val="9"/>
  </w:num>
  <w:num w:numId="6" w16cid:durableId="1670788102">
    <w:abstractNumId w:val="10"/>
  </w:num>
  <w:num w:numId="7" w16cid:durableId="1779448382">
    <w:abstractNumId w:val="3"/>
  </w:num>
  <w:num w:numId="8" w16cid:durableId="1247763992">
    <w:abstractNumId w:val="0"/>
  </w:num>
  <w:num w:numId="9" w16cid:durableId="264658181">
    <w:abstractNumId w:val="1"/>
  </w:num>
  <w:num w:numId="10" w16cid:durableId="1938556773">
    <w:abstractNumId w:val="6"/>
  </w:num>
  <w:num w:numId="11" w16cid:durableId="186912429">
    <w:abstractNumId w:val="8"/>
  </w:num>
  <w:num w:numId="12" w16cid:durableId="1970894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EA"/>
    <w:rsid w:val="00093567"/>
    <w:rsid w:val="000E4081"/>
    <w:rsid w:val="00121513"/>
    <w:rsid w:val="00121B15"/>
    <w:rsid w:val="0015162F"/>
    <w:rsid w:val="001A719A"/>
    <w:rsid w:val="001B2F00"/>
    <w:rsid w:val="001C170C"/>
    <w:rsid w:val="001F7E19"/>
    <w:rsid w:val="00236275"/>
    <w:rsid w:val="0027088E"/>
    <w:rsid w:val="00272D6D"/>
    <w:rsid w:val="002A6376"/>
    <w:rsid w:val="002D00A3"/>
    <w:rsid w:val="00313E39"/>
    <w:rsid w:val="00345603"/>
    <w:rsid w:val="003717F0"/>
    <w:rsid w:val="00372478"/>
    <w:rsid w:val="00391350"/>
    <w:rsid w:val="00397B5A"/>
    <w:rsid w:val="003D21A9"/>
    <w:rsid w:val="003D513C"/>
    <w:rsid w:val="004109EE"/>
    <w:rsid w:val="00442BE3"/>
    <w:rsid w:val="00454754"/>
    <w:rsid w:val="004571BF"/>
    <w:rsid w:val="00492D36"/>
    <w:rsid w:val="004B638D"/>
    <w:rsid w:val="004D5594"/>
    <w:rsid w:val="005321E5"/>
    <w:rsid w:val="00573E1D"/>
    <w:rsid w:val="00586D57"/>
    <w:rsid w:val="005C5160"/>
    <w:rsid w:val="005D466D"/>
    <w:rsid w:val="006F2212"/>
    <w:rsid w:val="00704181"/>
    <w:rsid w:val="007374B3"/>
    <w:rsid w:val="007A4308"/>
    <w:rsid w:val="00813B78"/>
    <w:rsid w:val="008309A2"/>
    <w:rsid w:val="00830EBC"/>
    <w:rsid w:val="00832C79"/>
    <w:rsid w:val="00833EFE"/>
    <w:rsid w:val="00837890"/>
    <w:rsid w:val="00864AF8"/>
    <w:rsid w:val="008C0198"/>
    <w:rsid w:val="008D39B8"/>
    <w:rsid w:val="008E1BB4"/>
    <w:rsid w:val="008F4AEA"/>
    <w:rsid w:val="009031C9"/>
    <w:rsid w:val="00A054AF"/>
    <w:rsid w:val="00A323E5"/>
    <w:rsid w:val="00A70C9C"/>
    <w:rsid w:val="00AB3E7D"/>
    <w:rsid w:val="00AD4E4F"/>
    <w:rsid w:val="00B61342"/>
    <w:rsid w:val="00B636F8"/>
    <w:rsid w:val="00B63CF6"/>
    <w:rsid w:val="00BA0B6E"/>
    <w:rsid w:val="00BF198B"/>
    <w:rsid w:val="00C01653"/>
    <w:rsid w:val="00C23C0A"/>
    <w:rsid w:val="00C6202B"/>
    <w:rsid w:val="00C64667"/>
    <w:rsid w:val="00D010A1"/>
    <w:rsid w:val="00D15A13"/>
    <w:rsid w:val="00D64EAC"/>
    <w:rsid w:val="00DA0519"/>
    <w:rsid w:val="00DC6826"/>
    <w:rsid w:val="00DE5265"/>
    <w:rsid w:val="00DF67FF"/>
    <w:rsid w:val="00E736D1"/>
    <w:rsid w:val="00EA1205"/>
    <w:rsid w:val="00EB093C"/>
    <w:rsid w:val="00EB29DD"/>
    <w:rsid w:val="00F11990"/>
    <w:rsid w:val="00F236AD"/>
    <w:rsid w:val="00F30012"/>
    <w:rsid w:val="00F33512"/>
    <w:rsid w:val="00F615FA"/>
    <w:rsid w:val="00FA7281"/>
    <w:rsid w:val="00FC4028"/>
    <w:rsid w:val="00FD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1BAA9"/>
  <w15:docId w15:val="{4887A2C0-74DA-43F1-AFEE-EAE6D3AE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EF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A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AEA"/>
  </w:style>
  <w:style w:type="paragraph" w:styleId="Footer">
    <w:name w:val="footer"/>
    <w:basedOn w:val="Normal"/>
    <w:link w:val="FooterChar"/>
    <w:uiPriority w:val="99"/>
    <w:unhideWhenUsed/>
    <w:rsid w:val="008F4A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AEA"/>
  </w:style>
  <w:style w:type="paragraph" w:styleId="BalloonText">
    <w:name w:val="Balloon Text"/>
    <w:basedOn w:val="Normal"/>
    <w:link w:val="BalloonTextChar"/>
    <w:uiPriority w:val="99"/>
    <w:semiHidden/>
    <w:unhideWhenUsed/>
    <w:rsid w:val="008F4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A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36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EFE"/>
    <w:pPr>
      <w:ind w:left="720"/>
      <w:contextualSpacing/>
    </w:pPr>
  </w:style>
  <w:style w:type="table" w:styleId="TableGrid">
    <w:name w:val="Table Grid"/>
    <w:basedOn w:val="TableNormal"/>
    <w:rsid w:val="0083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4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cksmusi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sicservice@bucksmusi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Guenault, Paul</dc:creator>
  <cp:lastModifiedBy>Guenault, Paul</cp:lastModifiedBy>
  <cp:revision>3</cp:revision>
  <dcterms:created xsi:type="dcterms:W3CDTF">2022-05-18T09:25:00Z</dcterms:created>
  <dcterms:modified xsi:type="dcterms:W3CDTF">2022-05-18T12:55:00Z</dcterms:modified>
</cp:coreProperties>
</file>